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59079D">
      <w:bookmarkStart w:id="0" w:name="_GoBack"/>
      <w:bookmarkEnd w:id="0"/>
      <w:r>
        <w:rPr>
          <w:noProof/>
        </w:rPr>
        <w:pict>
          <v:shapetype id="_x0000_t202" coordsize="21600,21600" o:spt="202" path="m,l,21600r21600,l21600,xe">
            <v:stroke joinstyle="miter"/>
            <v:path gradientshapeok="t" o:connecttype="rect"/>
          </v:shapetype>
          <v:shape id="Text Box 2" o:spid="_x0000_s1025" type="#_x0000_t202" style="height:505.2pt;margin-left:-63pt;margin-top:156.6pt;mso-height-percent:0;mso-height-relative:margin;mso-width-percent:0;mso-width-relative:margin;mso-wrap-distance-bottom:3.6pt;mso-wrap-distance-left:9pt;mso-wrap-distance-right:9pt;mso-wrap-distance-top:3.6pt;mso-wrap-style:square;position:absolute;v-text-anchor:top;visibility:visible;width:585pt;z-index:251660288" filled="f" stroked="f">
            <v:textbox>
              <w:txbxContent>
                <w:p w:rsidR="00654C01" w:rsidRPr="003948BC" w:rsidP="00CC00A2">
                  <w:pPr>
                    <w:pStyle w:val="NoSpacing"/>
                    <w:rPr>
                      <w:rFonts w:ascii="Arial" w:hAnsi="Arial" w:cs="Arial"/>
                      <w:b/>
                      <w:color w:val="E05929"/>
                      <w:sz w:val="20"/>
                      <w:szCs w:val="20"/>
                    </w:rPr>
                  </w:pPr>
                </w:p>
                <w:p w:rsidR="00654C01" w:rsidRPr="003948BC" w:rsidP="00CC00A2">
                  <w:pPr>
                    <w:pStyle w:val="NoSpacing"/>
                    <w:rPr>
                      <w:rFonts w:ascii="Arial" w:hAnsi="Arial" w:cs="Arial"/>
                      <w:b/>
                      <w:color w:val="E05929"/>
                      <w:sz w:val="20"/>
                      <w:szCs w:val="20"/>
                    </w:rPr>
                  </w:pPr>
                </w:p>
                <w:p w:rsidR="00654C01" w:rsidRPr="003948BC" w:rsidP="00CC00A2">
                  <w:pPr>
                    <w:pStyle w:val="NoSpacing"/>
                    <w:rPr>
                      <w:rFonts w:ascii="Arial" w:hAnsi="Arial" w:cs="Arial"/>
                      <w:b/>
                      <w:color w:val="E05929"/>
                      <w:sz w:val="20"/>
                      <w:szCs w:val="20"/>
                    </w:rPr>
                  </w:pPr>
                </w:p>
                <w:p w:rsidR="00654C01" w:rsidRPr="003948BC" w:rsidP="00CC00A2">
                  <w:pPr>
                    <w:pStyle w:val="NoSpacing"/>
                    <w:rPr>
                      <w:rFonts w:ascii="Arial" w:hAnsi="Arial" w:cs="Arial"/>
                      <w:b/>
                      <w:color w:val="E05929"/>
                      <w:sz w:val="20"/>
                      <w:szCs w:val="20"/>
                    </w:rPr>
                  </w:pPr>
                </w:p>
                <w:p w:rsidR="00654C01" w:rsidRPr="003948BC" w:rsidP="00CC00A2">
                  <w:pPr>
                    <w:pStyle w:val="NoSpacing"/>
                    <w:rPr>
                      <w:rFonts w:ascii="Arial" w:hAnsi="Arial" w:cs="Arial"/>
                      <w:b/>
                      <w:color w:val="E05929"/>
                      <w:sz w:val="20"/>
                      <w:szCs w:val="20"/>
                    </w:rPr>
                  </w:pPr>
                </w:p>
                <w:p w:rsidR="00654C01" w:rsidRPr="003948BC" w:rsidP="00CC00A2">
                  <w:pPr>
                    <w:pStyle w:val="NoSpacing"/>
                    <w:rPr>
                      <w:rFonts w:ascii="Arial" w:hAnsi="Arial" w:cs="Arial"/>
                      <w:b/>
                      <w:color w:val="E05929"/>
                      <w:sz w:val="20"/>
                      <w:szCs w:val="20"/>
                    </w:rPr>
                  </w:pPr>
                </w:p>
                <w:p w:rsidR="005B487D" w:rsidRPr="003948BC" w:rsidP="00CC00A2">
                  <w:pPr>
                    <w:pStyle w:val="NoSpacing"/>
                    <w:rPr>
                      <w:rFonts w:ascii="Arial" w:hAnsi="Arial" w:cs="Arial"/>
                      <w:b/>
                      <w:color w:val="E05929"/>
                      <w:sz w:val="20"/>
                      <w:szCs w:val="20"/>
                    </w:rPr>
                  </w:pPr>
                </w:p>
                <w:p w:rsidR="00CC00A2" w:rsidRPr="003948BC" w:rsidP="00CC00A2">
                  <w:pPr>
                    <w:pStyle w:val="NoSpacing"/>
                    <w:rPr>
                      <w:rFonts w:ascii="Arial" w:hAnsi="Arial" w:cs="Arial"/>
                      <w:b/>
                      <w:color w:val="E05929"/>
                      <w:sz w:val="20"/>
                      <w:szCs w:val="20"/>
                    </w:rPr>
                  </w:pPr>
                  <w:r w:rsidRPr="003948BC">
                    <w:rPr>
                      <w:rFonts w:ascii="Arial" w:hAnsi="Arial" w:cs="Arial"/>
                      <w:b/>
                      <w:color w:val="E05929"/>
                      <w:sz w:val="20"/>
                      <w:szCs w:val="20"/>
                    </w:rPr>
                    <w:br/>
                  </w:r>
                  <w:r w:rsidRPr="003948BC">
                    <w:rPr>
                      <w:rFonts w:ascii="Arial" w:hAnsi="Arial" w:cs="Arial"/>
                      <w:b/>
                      <w:color w:val="E05929"/>
                      <w:sz w:val="20"/>
                      <w:szCs w:val="20"/>
                    </w:rPr>
                    <w:t>Education Objectives</w:t>
                  </w:r>
                </w:p>
                <w:p w:rsidR="003E582A" w:rsidRPr="003948BC" w:rsidP="006B0F8D">
                  <w:pPr>
                    <w:pStyle w:val="NoSpacing"/>
                    <w:rPr>
                      <w:rFonts w:ascii="Arial" w:hAnsi="Arial" w:cs="Arial"/>
                      <w:sz w:val="20"/>
                      <w:szCs w:val="20"/>
                    </w:rPr>
                  </w:pPr>
                  <w:r w:rsidRPr="003948BC">
                    <w:rPr>
                      <w:rFonts w:ascii="Arial" w:hAnsi="Arial" w:cs="Arial"/>
                      <w:sz w:val="20"/>
                      <w:szCs w:val="20"/>
                    </w:rPr>
                    <w:t>1 Identify the signs of acute stroke</w:t>
                  </w:r>
                </w:p>
                <w:p w:rsidRPr="003948BC" w:rsidP="006B0F8D">
                  <w:pPr>
                    <w:pStyle w:val="NoSpacing"/>
                    <w:rPr>
                      <w:rFonts w:ascii="Arial" w:hAnsi="Arial" w:cs="Arial"/>
                      <w:sz w:val="20"/>
                      <w:szCs w:val="20"/>
                    </w:rPr>
                  </w:pPr>
                  <w:r w:rsidRPr="003948BC">
                    <w:rPr>
                      <w:rFonts w:ascii="Arial" w:hAnsi="Arial" w:cs="Arial"/>
                      <w:sz w:val="20"/>
                      <w:szCs w:val="20"/>
                    </w:rPr>
                    <w:t>2 Demonstrate evidence-based stroke assessment guidelines correctly</w:t>
                  </w:r>
                </w:p>
                <w:p w:rsidRPr="003948BC" w:rsidP="006B0F8D">
                  <w:pPr>
                    <w:pStyle w:val="NoSpacing"/>
                    <w:rPr>
                      <w:rFonts w:ascii="Arial" w:hAnsi="Arial" w:cs="Arial"/>
                      <w:sz w:val="20"/>
                      <w:szCs w:val="20"/>
                    </w:rPr>
                  </w:pPr>
                  <w:r w:rsidRPr="003948BC">
                    <w:rPr>
                      <w:rFonts w:ascii="Arial" w:hAnsi="Arial" w:cs="Arial"/>
                      <w:sz w:val="20"/>
                      <w:szCs w:val="20"/>
                    </w:rPr>
                    <w:t>3 Demonstrate care of patient with identified risk factors</w:t>
                  </w:r>
                </w:p>
                <w:p w:rsidRPr="003948BC" w:rsidP="006B0F8D">
                  <w:pPr>
                    <w:pStyle w:val="NoSpacing"/>
                    <w:rPr>
                      <w:rFonts w:ascii="Arial" w:hAnsi="Arial" w:cs="Arial"/>
                      <w:sz w:val="20"/>
                      <w:szCs w:val="20"/>
                    </w:rPr>
                  </w:pPr>
                  <w:r w:rsidRPr="003948BC">
                    <w:rPr>
                      <w:rFonts w:ascii="Arial" w:hAnsi="Arial" w:cs="Arial"/>
                      <w:sz w:val="20"/>
                      <w:szCs w:val="20"/>
                    </w:rPr>
                    <w:t>4 Identify appropriate interventions for patients experiencing neurological deterioration.</w:t>
                  </w:r>
                </w:p>
                <w:p w:rsidR="003E582A" w:rsidRPr="003948BC" w:rsidP="003E582A">
                  <w:pPr>
                    <w:pStyle w:val="NoSpacing"/>
                    <w:ind w:left="1080"/>
                    <w:rPr>
                      <w:rFonts w:ascii="Arial" w:hAnsi="Arial" w:cs="Arial"/>
                      <w:sz w:val="20"/>
                      <w:szCs w:val="20"/>
                    </w:rPr>
                  </w:pPr>
                </w:p>
                <w:p w:rsidR="00CC00A2" w:rsidRPr="003948BC" w:rsidP="00CC00A2">
                  <w:pPr>
                    <w:pStyle w:val="NoSpacing"/>
                    <w:rPr>
                      <w:rFonts w:ascii="Arial" w:hAnsi="Arial" w:cs="Arial"/>
                      <w:b/>
                      <w:color w:val="E05929"/>
                      <w:sz w:val="20"/>
                      <w:szCs w:val="20"/>
                    </w:rPr>
                  </w:pPr>
                  <w:r w:rsidRPr="003948BC">
                    <w:rPr>
                      <w:rFonts w:ascii="Arial" w:hAnsi="Arial" w:cs="Arial"/>
                      <w:b/>
                      <w:color w:val="E05929"/>
                      <w:sz w:val="20"/>
                      <w:szCs w:val="20"/>
                    </w:rPr>
                    <w:t>Accreditation</w:t>
                  </w:r>
                </w:p>
                <w:p w:rsidR="00CC00A2" w:rsidRPr="003948BC" w:rsidP="00CC00A2">
                  <w:pPr>
                    <w:spacing w:after="0"/>
                    <w:rPr>
                      <w:rFonts w:ascii="Arial" w:hAnsi="Arial" w:cs="Arial"/>
                      <w:sz w:val="20"/>
                      <w:szCs w:val="20"/>
                    </w:rPr>
                  </w:pPr>
                  <w:r w:rsidRPr="003948BC">
                    <w:rPr>
                      <w:rFonts w:ascii="Arial" w:hAnsi="Arial" w:cs="Arial"/>
                      <w:sz w:val="20"/>
                      <w:szCs w:val="20"/>
                    </w:rPr>
                    <w:t xml:space="preserve">The HCA </w:t>
                  </w:r>
                  <w:r w:rsidRPr="003948BC" w:rsidR="00884462">
                    <w:rPr>
                      <w:rFonts w:ascii="Arial" w:hAnsi="Arial" w:cs="Arial"/>
                      <w:sz w:val="20"/>
                      <w:szCs w:val="20"/>
                    </w:rPr>
                    <w:t xml:space="preserve">Healthcare </w:t>
                  </w:r>
                  <w:r w:rsidRPr="003948BC">
                    <w:rPr>
                      <w:rFonts w:ascii="Arial" w:hAnsi="Arial" w:cs="Arial"/>
                      <w:sz w:val="20"/>
                      <w:szCs w:val="20"/>
                    </w:rPr>
                    <w:t>Graduate Medical Education is accredited by the Accreditation Council for Continuing Medical Education (ACCME) to provide continuing medical education for physicians.</w:t>
                  </w:r>
                </w:p>
                <w:p w:rsidR="00CC00A2" w:rsidRPr="003948BC" w:rsidP="00CC00A2">
                  <w:pPr>
                    <w:spacing w:after="0"/>
                    <w:rPr>
                      <w:rFonts w:ascii="Arial" w:hAnsi="Arial" w:cs="Arial"/>
                      <w:sz w:val="20"/>
                      <w:szCs w:val="20"/>
                    </w:rPr>
                  </w:pPr>
                </w:p>
                <w:p w:rsidR="00CC00A2" w:rsidRPr="003948BC" w:rsidP="00CC00A2">
                  <w:pPr>
                    <w:pStyle w:val="NoSpacing"/>
                    <w:rPr>
                      <w:rFonts w:ascii="Arial" w:hAnsi="Arial" w:cs="Arial"/>
                      <w:b/>
                      <w:color w:val="E05929"/>
                      <w:sz w:val="20"/>
                      <w:szCs w:val="20"/>
                    </w:rPr>
                  </w:pPr>
                  <w:r w:rsidRPr="003948BC">
                    <w:rPr>
                      <w:rFonts w:ascii="Arial" w:hAnsi="Arial" w:cs="Arial"/>
                      <w:b/>
                      <w:color w:val="E05929"/>
                      <w:sz w:val="20"/>
                      <w:szCs w:val="20"/>
                    </w:rPr>
                    <w:t>Credit</w:t>
                  </w:r>
                </w:p>
                <w:p w:rsidR="00CC00A2" w:rsidRPr="003948BC" w:rsidP="00CC00A2">
                  <w:pPr>
                    <w:spacing w:after="0"/>
                    <w:rPr>
                      <w:rFonts w:ascii="Arial" w:hAnsi="Arial" w:cs="Arial"/>
                      <w:sz w:val="20"/>
                      <w:szCs w:val="20"/>
                    </w:rPr>
                  </w:pPr>
                  <w:r w:rsidRPr="003948BC">
                    <w:rPr>
                      <w:rFonts w:ascii="Arial" w:hAnsi="Arial" w:cs="Arial"/>
                      <w:sz w:val="20"/>
                      <w:szCs w:val="20"/>
                    </w:rPr>
                    <w:t xml:space="preserve">The HCA </w:t>
                  </w:r>
                  <w:r w:rsidRPr="003948BC" w:rsidR="00884462">
                    <w:rPr>
                      <w:rFonts w:ascii="Arial" w:hAnsi="Arial" w:cs="Arial"/>
                      <w:sz w:val="20"/>
                      <w:szCs w:val="20"/>
                    </w:rPr>
                    <w:t xml:space="preserve">Healthcare </w:t>
                  </w:r>
                  <w:r w:rsidRPr="003948BC">
                    <w:rPr>
                      <w:rFonts w:ascii="Arial" w:hAnsi="Arial" w:cs="Arial"/>
                      <w:sz w:val="20"/>
                      <w:szCs w:val="20"/>
                    </w:rPr>
                    <w:t xml:space="preserve">Graduate Medical Education designates this live activity for a maximum of </w:t>
                  </w:r>
                  <w:r w:rsidRPr="003948BC" w:rsidR="00654C01">
                    <w:rPr>
                      <w:rFonts w:ascii="Arial" w:hAnsi="Arial" w:cs="Arial"/>
                      <w:sz w:val="20"/>
                      <w:szCs w:val="20"/>
                    </w:rPr>
                    <w:t>3.00</w:t>
                  </w:r>
                  <w:r w:rsidRPr="003948BC" w:rsidR="003E582A">
                    <w:rPr>
                      <w:rFonts w:ascii="Arial" w:hAnsi="Arial" w:cs="Arial"/>
                      <w:sz w:val="20"/>
                      <w:szCs w:val="20"/>
                    </w:rPr>
                    <w:t xml:space="preserve"> </w:t>
                  </w:r>
                  <w:r w:rsidRPr="003948BC">
                    <w:rPr>
                      <w:rFonts w:ascii="Arial" w:hAnsi="Arial" w:cs="Arial"/>
                      <w:i/>
                      <w:sz w:val="20"/>
                      <w:szCs w:val="20"/>
                    </w:rPr>
                    <w:t>AMA PRA Category 1 Credit™.</w:t>
                  </w:r>
                  <w:r w:rsidRPr="003948BC">
                    <w:rPr>
                      <w:rFonts w:ascii="Arial" w:hAnsi="Arial" w:cs="Arial"/>
                      <w:sz w:val="20"/>
                      <w:szCs w:val="20"/>
                    </w:rPr>
                    <w:t xml:space="preserve">  Physicians should claim only the credit commensurate with the extent of their participation in the activity.</w:t>
                  </w:r>
                </w:p>
                <w:p w:rsidR="00CC00A2" w:rsidRPr="003948BC" w:rsidP="00CC00A2">
                  <w:pPr>
                    <w:spacing w:after="0"/>
                    <w:rPr>
                      <w:rFonts w:ascii="Arial" w:hAnsi="Arial" w:cs="Arial"/>
                      <w:b/>
                      <w:sz w:val="20"/>
                      <w:szCs w:val="20"/>
                      <w:u w:val="single"/>
                    </w:rPr>
                  </w:pPr>
                </w:p>
                <w:p w:rsidR="00CC00A2" w:rsidRPr="003948BC" w:rsidP="00CC00A2">
                  <w:pPr>
                    <w:pStyle w:val="NoSpacing"/>
                    <w:rPr>
                      <w:rFonts w:ascii="Arial" w:hAnsi="Arial" w:cs="Arial"/>
                      <w:b/>
                      <w:color w:val="E05929"/>
                      <w:sz w:val="20"/>
                      <w:szCs w:val="20"/>
                    </w:rPr>
                  </w:pPr>
                  <w:r w:rsidRPr="003948BC">
                    <w:rPr>
                      <w:rFonts w:ascii="Arial" w:hAnsi="Arial" w:cs="Arial"/>
                      <w:b/>
                      <w:color w:val="E05929"/>
                      <w:sz w:val="20"/>
                      <w:szCs w:val="20"/>
                    </w:rPr>
                    <w:t>Disclosure Summary</w:t>
                  </w:r>
                </w:p>
                <w:p w:rsidR="00654C01" w:rsidRPr="003948BC" w:rsidP="00654C01">
                  <w:pPr>
                    <w:spacing w:after="0"/>
                    <w:rPr>
                      <w:rFonts w:ascii="Arial" w:hAnsi="Arial" w:cs="Arial"/>
                      <w:bCs/>
                      <w:i/>
                      <w:sz w:val="20"/>
                      <w:szCs w:val="20"/>
                    </w:rPr>
                  </w:pPr>
                  <w:r w:rsidRPr="003948BC">
                    <w:rPr>
                      <w:rFonts w:ascii="Arial" w:hAnsi="Arial" w:cs="Arial"/>
                      <w:bCs/>
                      <w:i/>
                      <w:sz w:val="20"/>
                      <w:szCs w:val="20"/>
                    </w:rPr>
                    <w:fldChar w:fldCharType="begin"/>
                  </w:r>
                  <w:r w:rsidRPr="003948BC">
                    <w:rPr>
                      <w:rFonts w:ascii="Arial" w:hAnsi="Arial" w:cs="Arial"/>
                      <w:bCs/>
                      <w:i/>
                      <w:sz w:val="20"/>
                      <w:szCs w:val="20"/>
                    </w:rPr>
                    <w:instrText xml:space="preserve"> IF </w:instrText>
                  </w:r>
                  <w:r w:rsidRPr="003948BC">
                    <w:rPr>
                      <w:rFonts w:ascii="Arial" w:hAnsi="Arial" w:cs="Arial"/>
                      <w:bCs/>
                      <w:i/>
                      <w:sz w:val="20"/>
                      <w:szCs w:val="20"/>
                    </w:rPr>
                    <w:instrText>"</w:instrText>
                  </w:r>
                  <w:r w:rsidRPr="003948BC">
                    <w:rPr>
                      <w:rFonts w:ascii="Arial" w:hAnsi="Arial" w:cs="Arial"/>
                      <w:bCs/>
                      <w:i/>
                      <w:sz w:val="20"/>
                      <w:szCs w:val="20"/>
                    </w:rPr>
                    <w:instrText>HCA Healthcare is committed to providing CME that is balanced, objective, and evidence-based. In accordance with the ACCME Accreditation Requirements and Standards, all parties involved in content development are required to disclose all financial relationships with ineligible entities (commercial interest).  All relevant financial relationships have been mitigated prior to the commencement of the activity.</w:instrText>
                  </w:r>
                  <w:r w:rsidRPr="003948BC">
                    <w:rPr>
                      <w:rFonts w:ascii="Arial" w:hAnsi="Arial" w:cs="Arial"/>
                      <w:bCs/>
                      <w:i/>
                      <w:sz w:val="20"/>
                      <w:szCs w:val="20"/>
                    </w:rPr>
                    <w:instrText>"</w:instrText>
                  </w:r>
                  <w:r w:rsidRPr="003948BC">
                    <w:rPr>
                      <w:rFonts w:ascii="Arial" w:hAnsi="Arial" w:cs="Arial"/>
                      <w:bCs/>
                      <w:i/>
                      <w:sz w:val="20"/>
                      <w:szCs w:val="20"/>
                    </w:rPr>
                    <w:instrText xml:space="preserve"> &lt;&gt; "" "</w:instrText>
                  </w:r>
                  <w:r w:rsidRPr="003948BC">
                    <w:rPr>
                      <w:rFonts w:ascii="Arial" w:hAnsi="Arial" w:cs="Arial"/>
                      <w:bCs/>
                      <w:i/>
                      <w:sz w:val="20"/>
                      <w:szCs w:val="20"/>
                    </w:rPr>
                    <w:instrText>HCA Healthcare is committed to providing CME that is balanced, objective, and evidence-based. In accordance with the ACCME Accreditation Requirements and Standards, all parties involved in content development are required to disclose all financial relationships with ineligible entities (commercial interest).  All relevant financial relationships have been mitigated prior to the commencement of the activity.</w:instrText>
                  </w:r>
                  <w:r w:rsidRPr="003948BC">
                    <w:rPr>
                      <w:rFonts w:ascii="Arial" w:hAnsi="Arial" w:cs="Arial"/>
                      <w:bCs/>
                      <w:i/>
                      <w:sz w:val="20"/>
                      <w:szCs w:val="20"/>
                    </w:rPr>
                    <w:instrText>" "HCA Healthcare Graduate Medical Education is committed to providing CME that is balanced, objective, and evidence-based. In</w:instrText>
                  </w:r>
                  <w:r w:rsidRPr="003948BC">
                    <w:rPr>
                      <w:rFonts w:ascii="Arial" w:hAnsi="Arial" w:cs="Arial"/>
                      <w:bCs/>
                      <w:i/>
                      <w:sz w:val="20"/>
                      <w:szCs w:val="20"/>
                    </w:rPr>
                    <w:br/>
                    <w:instrText xml:space="preserve">accordance with the ACCME Accreditation Requirements and Standards, all parties involved in content development are required to disclose all financial relationships with ineligible entities (commercial interest)." </w:instrText>
                  </w:r>
                  <w:r w:rsidRPr="003948BC">
                    <w:rPr>
                      <w:rFonts w:ascii="Arial" w:hAnsi="Arial" w:cs="Arial"/>
                      <w:bCs/>
                      <w:i/>
                      <w:sz w:val="20"/>
                      <w:szCs w:val="20"/>
                    </w:rPr>
                    <w:fldChar w:fldCharType="separate"/>
                  </w:r>
                  <w:r w:rsidRPr="003948BC">
                    <w:rPr>
                      <w:rFonts w:ascii="Arial" w:hAnsi="Arial" w:cs="Arial"/>
                      <w:bCs/>
                      <w:i/>
                      <w:sz w:val="20"/>
                      <w:szCs w:val="20"/>
                    </w:rPr>
                    <w:t>HCA Healthcare is committed to providing CME that is balanced, objective, and evidence-based. In accordance with the ACCME Accreditation Requirements and Standards, all parties involved in content development are required to disclose all financial relationships with ineligible entities (commercial interest).  All relevant financial relationships have been mitigated prior to the commencement of the activity.</w:t>
                  </w:r>
                  <w:r w:rsidRPr="003948BC">
                    <w:rPr>
                      <w:rFonts w:ascii="Arial" w:hAnsi="Arial" w:cs="Arial"/>
                      <w:bCs/>
                      <w:i/>
                      <w:sz w:val="20"/>
                      <w:szCs w:val="20"/>
                    </w:rPr>
                    <w:fldChar w:fldCharType="end"/>
                  </w:r>
                </w:p>
                <w:p w:rsidR="00654C01" w:rsidRPr="003948BC" w:rsidP="00654C01">
                  <w:pPr>
                    <w:spacing w:after="0"/>
                    <w:rPr>
                      <w:rFonts w:ascii="Arial" w:hAnsi="Arial" w:cs="Arial"/>
                      <w:b/>
                      <w:i/>
                      <w:sz w:val="20"/>
                      <w:szCs w:val="20"/>
                    </w:rPr>
                  </w:pPr>
                </w:p>
                <w:tbl>
                  <w:tblPr>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
                  <w:tblGrid>
                    <w:gridCol w:w="3397"/>
                    <w:gridCol w:w="3397"/>
                    <w:gridCol w:w="4529"/>
                  </w:tblGrid>
                  <w:tr>
                    <w:tblPrEx>
                      <w:tblW w:w="5000" w:type="pct"/>
                      <w:jc w:val="left"/>
                      <w:tblCellSpacing w:w="15" w:type="dxa"/>
                      <w:tblInd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PrEx>
                    <w:trPr>
                      <w:tblCellSpacing w:w="15" w:type="dxa"/>
                      <w:jc w:val="left"/>
                    </w:trPr>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Name of individual</w:t>
                        </w:r>
                      </w:p>
                    </w:tc>
                    <w:tc>
                      <w:tcPr>
                        <w:tcW w:w="15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Individual's role in activity</w:t>
                        </w:r>
                      </w:p>
                    </w:tc>
                    <w:tc>
                      <w:tcPr>
                        <w:tcW w:w="2000" w:type="pct"/>
                        <w:tcBorders>
                          <w:top w:val="outset" w:sz="6" w:space="0" w:color="auto"/>
                          <w:left w:val="outset" w:sz="6" w:space="0" w:color="auto"/>
                          <w:bottom w:val="outset" w:sz="6" w:space="0" w:color="auto"/>
                          <w:right w:val="outset" w:sz="6" w:space="0" w:color="auto"/>
                        </w:tcBorders>
                        <w:shd w:val="clear" w:color="auto" w:fill="F5F5F5"/>
                        <w:vAlign w:val="center"/>
                      </w:tcPr>
                      <w:p>
                        <w:pPr>
                          <w:bidi w:val="0"/>
                          <w:spacing w:after="0" w:afterAutospacing="0"/>
                          <w:jc w:val="center"/>
                          <w:rPr>
                            <w:rtl w:val="0"/>
                          </w:rPr>
                        </w:pPr>
                        <w:r>
                          <w:rPr>
                            <w:b/>
                            <w:rtl w:val="0"/>
                          </w:rPr>
                          <w:t>Nature of Relationship(s) / Name of Ineligible Company(s)</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Michelle D Bertotti, BSN</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Activity Coordinator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- 09/11/2026</w:t>
                        </w:r>
                      </w:p>
                    </w:tc>
                  </w:tr>
                  <w:tr>
                    <w:tblPrEx>
                      <w:tblW w:w="5000" w:type="pct"/>
                      <w:jc w:val="left"/>
                      <w:tblCellSpacing w:w="15" w:type="dxa"/>
                      <w:tblInd w:w="0" w:type="dxa"/>
                      <w:tblCellMar>
                        <w:top w:w="15" w:type="dxa"/>
                        <w:left w:w="15" w:type="dxa"/>
                        <w:bottom w:w="15" w:type="dxa"/>
                        <w:right w:w="15" w:type="dxa"/>
                      </w:tblCellMar>
                    </w:tblPrEx>
                    <w:trPr>
                      <w:tblCellSpacing w:w="15" w:type="dxa"/>
                      <w:jc w:val="left"/>
                    </w:trPr>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Phaniraj N Iyengar, MD</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Course Director</w:t>
                        </w:r>
                      </w:p>
                    </w:tc>
                    <w:tc>
                      <w:tcPr>
                        <w:tcBorders>
                          <w:top w:val="outset" w:sz="6" w:space="0" w:color="auto"/>
                          <w:left w:val="outset" w:sz="6" w:space="0" w:color="auto"/>
                          <w:bottom w:val="outset" w:sz="6" w:space="0" w:color="auto"/>
                          <w:right w:val="outset" w:sz="6" w:space="0" w:color="auto"/>
                        </w:tcBorders>
                        <w:vAlign w:val="center"/>
                      </w:tcPr>
                      <w:p>
                        <w:pPr>
                          <w:bidi w:val="0"/>
                          <w:spacing w:after="0" w:afterAutospacing="0"/>
                          <w:jc w:val="left"/>
                          <w:rPr>
                            <w:rtl w:val="0"/>
                          </w:rPr>
                        </w:pPr>
                        <w:r>
                          <w:rPr>
                            <w:rtl w:val="0"/>
                          </w:rPr>
                          <w:t>Nothing to disclose - 06/08/2026</w:t>
                        </w:r>
                      </w:p>
                    </w:tc>
                  </w:tr>
                </w:tbl>
                <w:p w:rsidR="00654C01" w:rsidRPr="003948BC">
                  <w:pPr>
                    <w:bidi w:val="0"/>
                    <w:spacing w:after="280" w:afterAutospacing="1"/>
                    <w:rPr>
                      <w:rFonts w:ascii="Arial" w:hAnsi="Arial" w:cs="Arial"/>
                      <w:bCs/>
                      <w:iCs/>
                      <w:sz w:val="20"/>
                      <w:szCs w:val="20"/>
                    </w:rPr>
                  </w:pPr>
                </w:p>
              </w:txbxContent>
            </v:textbox>
          </v:shape>
        </w:pict>
      </w:r>
      <w:r>
        <w:rPr>
          <w:noProof/>
        </w:rPr>
        <w:pict>
          <v:shape id="_x0000_s1026" type="#_x0000_t202" style="height:221.4pt;margin-left:-59.4pt;margin-top:17.4pt;mso-height-percent:0;mso-height-relative:margin;mso-width-percent:0;mso-width-relative:margin;mso-wrap-distance-bottom:3.6pt;mso-wrap-distance-left:9pt;mso-wrap-distance-right:9pt;mso-wrap-distance-top:3.6pt;mso-wrap-style:square;position:absolute;v-text-anchor:top;visibility:visible;width:581.25pt;z-index:251659264" filled="f" stroked="f">
            <v:textbox>
              <w:txbxContent>
                <w:p w:rsidR="00F065AB" w:rsidRPr="00A56C76" w:rsidP="0080266E">
                  <w:pPr>
                    <w:rPr>
                      <w:rFonts w:ascii="Arial" w:hAnsi="Arial" w:cs="Arial"/>
                      <w:b/>
                      <w:color w:val="FFFFFF" w:themeColor="background1"/>
                      <w:sz w:val="72"/>
                    </w:rPr>
                  </w:pPr>
                  <w:r w:rsidRPr="00A56C76">
                    <w:rPr>
                      <w:rFonts w:ascii="Arial" w:hAnsi="Arial" w:cs="Arial"/>
                      <w:b/>
                      <w:color w:val="FFFFFF" w:themeColor="background1"/>
                      <w:sz w:val="72"/>
                    </w:rPr>
                    <w:t>2026 Hospitalist and Intensivist Continuing Education for DNV Comprehensive Stroke Center Certification</w:t>
                  </w:r>
                </w:p>
                <w:p w:rsidR="00C52B07" w:rsidRPr="00A56C76">
                  <w:pPr>
                    <w:rPr>
                      <w:rFonts w:ascii="Arial" w:hAnsi="Arial" w:cs="Arial"/>
                      <w:b/>
                      <w:color w:val="FFFFFF" w:themeColor="background1"/>
                      <w:sz w:val="28"/>
                      <w:szCs w:val="28"/>
                    </w:rPr>
                  </w:pPr>
                  <w:r w:rsidRPr="00A56C76">
                    <w:rPr>
                      <w:rFonts w:ascii="Arial" w:hAnsi="Arial" w:cs="Arial"/>
                      <w:b/>
                      <w:color w:val="FFFFFF" w:themeColor="background1"/>
                      <w:sz w:val="28"/>
                      <w:szCs w:val="28"/>
                    </w:rPr>
                    <w:t>[WebEx Placeholder]</w:t>
                  </w:r>
                </w:p>
                <w:p w:rsidR="00C52B07" w:rsidRPr="00A56C76">
                  <w:pPr>
                    <w:rPr>
                      <w:rFonts w:ascii="Arial" w:hAnsi="Arial" w:cs="Arial"/>
                      <w:b/>
                      <w:color w:val="FFFFFF" w:themeColor="background1"/>
                      <w:sz w:val="28"/>
                      <w:szCs w:val="28"/>
                    </w:rPr>
                  </w:pPr>
                  <w:r w:rsidRPr="00A56C76">
                    <w:rPr>
                      <w:rFonts w:ascii="Arial" w:hAnsi="Arial" w:cs="Arial"/>
                      <w:b/>
                      <w:color w:val="FFFFFF" w:themeColor="background1"/>
                      <w:sz w:val="28"/>
                      <w:szCs w:val="28"/>
                    </w:rPr>
                    <w:t>09/23/2026, 06:00 AM</w:t>
                  </w:r>
                </w:p>
                <w:p w:rsidR="00C52B07" w:rsidRPr="00A56C76">
                  <w:pPr>
                    <w:rPr>
                      <w:rFonts w:ascii="Arial" w:hAnsi="Arial" w:cs="Arial"/>
                      <w:b/>
                      <w:color w:val="FFFFFF" w:themeColor="background1"/>
                      <w:sz w:val="28"/>
                      <w:szCs w:val="28"/>
                    </w:rPr>
                  </w:pPr>
                  <w:r w:rsidRPr="00A56C76">
                    <w:rPr>
                      <w:rFonts w:ascii="Arial" w:hAnsi="Arial" w:cs="Arial"/>
                      <w:b/>
                      <w:color w:val="FFFFFF" w:themeColor="background1"/>
                      <w:sz w:val="28"/>
                      <w:szCs w:val="28"/>
                    </w:rPr>
                    <w:t>TriStar Centennial Medical Center</w:t>
                  </w:r>
                </w:p>
              </w:txbxContent>
            </v:textbox>
            <w10:wrap type="square"/>
          </v:shape>
        </w:pict>
      </w:r>
      <w:r w:rsidR="007F47B8">
        <w:rPr>
          <w:noProof/>
        </w:rPr>
        <w:drawing>
          <wp:anchor distT="0" distB="0" distL="114300" distR="114300" simplePos="0" relativeHeight="251661312" behindDoc="0" locked="0" layoutInCell="1" allowOverlap="1">
            <wp:simplePos x="0" y="0"/>
            <wp:positionH relativeFrom="column">
              <wp:posOffset>5362919</wp:posOffset>
            </wp:positionH>
            <wp:positionV relativeFrom="paragraph">
              <wp:posOffset>-771525</wp:posOffset>
            </wp:positionV>
            <wp:extent cx="1209926" cy="516509"/>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CA_logo_primary_white-orange.png"/>
                    <pic:cNvPicPr/>
                  </pic:nvPicPr>
                  <pic:blipFill>
                    <a:blip xmlns:r="http://schemas.openxmlformats.org/officeDocument/2006/relationships" r:embed="rId4" cstate="print">
                      <a:extLst>
                        <a:ext uri="{28A0092B-C50C-407E-A947-70E740481C1C}">
                          <a14:useLocalDpi xmlns:a14="http://schemas.microsoft.com/office/drawing/2010/main" val="0"/>
                        </a:ext>
                      </a:extLst>
                    </a:blip>
                    <a:stretch>
                      <a:fillRect/>
                    </a:stretch>
                  </pic:blipFill>
                  <pic:spPr>
                    <a:xfrm>
                      <a:off x="0" y="0"/>
                      <a:ext cx="1209926" cy="516509"/>
                    </a:xfrm>
                    <a:prstGeom prst="rect">
                      <a:avLst/>
                    </a:prstGeom>
                  </pic:spPr>
                </pic:pic>
              </a:graphicData>
            </a:graphic>
          </wp:anchor>
        </w:drawing>
      </w:r>
      <w:bookmarkStart w:id="1" w:name="_Hlk114664972"/>
      <w:bookmarkEnd w:id="1"/>
      <w:r w:rsidRPr="00C52B07" w:rsidR="00CC00A2">
        <w:rPr>
          <w:noProof/>
        </w:rPr>
        <w:drawing>
          <wp:anchor distT="0" distB="0" distL="114300" distR="114300" simplePos="0" relativeHeight="251658240" behindDoc="1" locked="0" layoutInCell="1" allowOverlap="1">
            <wp:simplePos x="0" y="0"/>
            <wp:positionH relativeFrom="column">
              <wp:posOffset>-1000125</wp:posOffset>
            </wp:positionH>
            <wp:positionV relativeFrom="paragraph">
              <wp:posOffset>-4000500</wp:posOffset>
            </wp:positionV>
            <wp:extent cx="7952740" cy="7115175"/>
            <wp:effectExtent l="0" t="0" r="0" b="952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xmlns:r="http://schemas.openxmlformats.org/officeDocument/2006/relationships" r:embed="rId5">
                      <a:extLst>
                        <a:ext uri="{28A0092B-C50C-407E-A947-70E740481C1C}">
                          <a14:useLocalDpi xmlns:a14="http://schemas.microsoft.com/office/drawing/2010/main" val="0"/>
                        </a:ext>
                      </a:extLst>
                    </a:blip>
                    <a:srcRect l="49290" t="-18287" r="-11" b="13578"/>
                    <a:stretch/>
                  </pic:blipFill>
                  <pic:spPr bwMode="auto">
                    <a:xfrm>
                      <a:off x="0" y="0"/>
                      <a:ext cx="7952740" cy="7115175"/>
                    </a:xfrm>
                    <a:prstGeom prst="rect">
                      <a:avLst/>
                    </a:prstGeom>
                    <a:ln>
                      <a:noFill/>
                    </a:ln>
                    <a:extLst>
                      <a:ext uri="{53640926-AAD7-44D8-BBD7-CCE9431645EC}">
                        <a14:shadowObscured xmlns:a14="http://schemas.microsoft.com/office/drawing/2010/main"/>
                      </a:ext>
                    </a:extLst>
                  </pic:spPr>
                </pic:pic>
              </a:graphicData>
            </a:graphic>
          </wp:anchor>
        </w:drawing>
      </w:r>
    </w:p>
    <w:sectPr>
      <w:foot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rk for HCA Light">
    <w:panose1 w:val="020B0606020201010104"/>
    <w:charset w:val="00"/>
    <w:family w:val="swiss"/>
    <w:notTrueType/>
    <w:pitch w:val="variable"/>
    <w:sig w:usb0="A000007F" w:usb1="5000E4FB" w:usb2="00000008"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874DC" w:rsidRPr="006874DC">
    <w:pPr>
      <w:pStyle w:val="Footer"/>
      <w:rPr>
        <w:rFonts w:ascii="Mark for HCA Light" w:hAnsi="Mark for HCA Light" w:cs="Mark for HCA Light"/>
        <w:sz w:val="18"/>
      </w:rPr>
    </w:pPr>
    <w:r>
      <w:ptab w:relativeTo="margin" w:alignment="center" w:leader="none"/>
    </w:r>
    <w:r w:rsidRPr="006874DC">
      <w:rPr>
        <w:rFonts w:ascii="Mark for HCA Light" w:hAnsi="Mark for HCA Light" w:cs="Mark for HCA Light"/>
        <w:sz w:val="18"/>
      </w:rPr>
      <w:t xml:space="preserve">HCA </w:t>
    </w:r>
    <w:r w:rsidR="00325EFE">
      <w:rPr>
        <w:rFonts w:ascii="Mark for HCA Light" w:hAnsi="Mark for HCA Light" w:cs="Mark for HCA Light"/>
        <w:sz w:val="18"/>
      </w:rPr>
      <w:t xml:space="preserve">Healthcare </w:t>
    </w:r>
    <w:r w:rsidRPr="006874DC">
      <w:rPr>
        <w:rFonts w:ascii="Mark for HCA Light" w:hAnsi="Mark for HCA Light" w:cs="Mark for HCA Light"/>
        <w:sz w:val="18"/>
      </w:rPr>
      <w:t xml:space="preserve">Graduate Medical Education | Office of CME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B2620C"/>
    <w:multiLevelType w:val="hybridMultilevel"/>
    <w:tmpl w:val="C818EBEE"/>
    <w:lvl w:ilvl="0">
      <w:start w:val="1"/>
      <w:numFmt w:val="bullet"/>
      <w:lvlText w:val=""/>
      <w:lvlJc w:val="left"/>
      <w:pPr>
        <w:ind w:left="720" w:hanging="360"/>
      </w:pPr>
      <w:rPr>
        <w:rFonts w:ascii="Symbol" w:hAnsi="Symbol" w:hint="default"/>
        <w:sz w:val="18"/>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2819082A"/>
    <w:multiLevelType w:val="hybridMultilevel"/>
    <w:tmpl w:val="3780BB0A"/>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3BB6666B"/>
    <w:multiLevelType w:val="hybridMultilevel"/>
    <w:tmpl w:val="09C4FFF2"/>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499D5F2A"/>
    <w:multiLevelType w:val="hybridMultilevel"/>
    <w:tmpl w:val="0C1ABE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C00A2"/>
    <w:pPr>
      <w:spacing w:after="0" w:line="240" w:lineRule="auto"/>
    </w:pPr>
  </w:style>
  <w:style w:type="paragraph" w:styleId="Header">
    <w:name w:val="header"/>
    <w:basedOn w:val="Normal"/>
    <w:link w:val="HeaderChar"/>
    <w:uiPriority w:val="99"/>
    <w:unhideWhenUsed/>
    <w:rsid w:val="006874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74DC"/>
  </w:style>
  <w:style w:type="paragraph" w:styleId="Footer">
    <w:name w:val="footer"/>
    <w:basedOn w:val="Normal"/>
    <w:link w:val="FooterChar"/>
    <w:uiPriority w:val="99"/>
    <w:unhideWhenUsed/>
    <w:rsid w:val="006874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74DC"/>
  </w:style>
  <w:style w:type="paragraph" w:styleId="ListParagraph">
    <w:name w:val="List Paragraph"/>
    <w:basedOn w:val="Normal"/>
    <w:uiPriority w:val="34"/>
    <w:qFormat/>
    <w:rsid w:val="000771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footer" Target="footer1.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HCA Healthcare</Company>
  <LinksUpToDate>false</LinksUpToDate>
  <CharactersWithSpaces>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Olcott Kathryn</dc:creator>
  <cp:lastModifiedBy>Bynum Megan</cp:lastModifiedBy>
  <cp:revision>2</cp:revision>
  <dcterms:created xsi:type="dcterms:W3CDTF">2024-04-12T15:32:00Z</dcterms:created>
  <dcterms:modified xsi:type="dcterms:W3CDTF">2024-04-12T15:32:00Z</dcterms:modified>
</cp:coreProperties>
</file>